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8D6" w:rsidRPr="002C4ECC" w:rsidRDefault="003C18D6" w:rsidP="003C18D6">
      <w:pPr>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i/>
          <w:sz w:val="24"/>
          <w:szCs w:val="24"/>
          <w:lang w:val="uk-UA" w:eastAsia="ru-RU"/>
        </w:rPr>
      </w:pPr>
      <w:r w:rsidRPr="002C4ECC">
        <w:rPr>
          <w:rFonts w:ascii="Times New Roman" w:hAnsi="Times New Roman"/>
          <w:i/>
          <w:sz w:val="24"/>
          <w:szCs w:val="24"/>
          <w:lang w:val="uk-UA" w:eastAsia="ru-RU"/>
        </w:rPr>
        <w:t>«Мета запиту (вимоги) слідчого — отримати доступ до документів у розумінні частини 1 статті 159 Кримінального процесуального кодексу України (КПК): «тимчасовий доступ до речей і документів полягає у наданні стороні кримінального провадження особою, у володінні якої знаходяться такі речі і документи, можливості ознайомитися з ними, зробити їх копії та вилучити їх (здійснити їх виїмку)».</w:t>
      </w:r>
    </w:p>
    <w:p w:rsidR="003C18D6" w:rsidRPr="002C4ECC" w:rsidRDefault="003C18D6" w:rsidP="003C18D6">
      <w:pPr>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i/>
          <w:color w:val="000000"/>
          <w:spacing w:val="3"/>
          <w:sz w:val="24"/>
          <w:szCs w:val="24"/>
          <w:lang w:val="uk-UA"/>
        </w:rPr>
      </w:pPr>
      <w:r w:rsidRPr="002C4ECC">
        <w:rPr>
          <w:rFonts w:ascii="Times New Roman" w:hAnsi="Times New Roman"/>
          <w:i/>
          <w:sz w:val="24"/>
          <w:szCs w:val="24"/>
          <w:lang w:val="uk-UA" w:eastAsia="ru-RU"/>
        </w:rPr>
        <w:t xml:space="preserve">Частина 2 статті 159 КПК встановлює, що тимчасовий доступ до речей і документів </w:t>
      </w:r>
      <w:r w:rsidRPr="002C4ECC">
        <w:rPr>
          <w:rFonts w:ascii="Times New Roman" w:hAnsi="Times New Roman"/>
          <w:bCs/>
          <w:i/>
          <w:sz w:val="24"/>
          <w:szCs w:val="24"/>
          <w:lang w:val="uk-UA" w:eastAsia="ru-RU"/>
        </w:rPr>
        <w:t xml:space="preserve">здійснюється на підставі ухвали слідчого судді, суду. </w:t>
      </w:r>
      <w:r w:rsidRPr="002C4ECC">
        <w:rPr>
          <w:rFonts w:ascii="Times New Roman" w:hAnsi="Times New Roman"/>
          <w:i/>
          <w:color w:val="000000"/>
          <w:spacing w:val="3"/>
          <w:sz w:val="24"/>
          <w:szCs w:val="24"/>
          <w:lang w:val="uk-UA"/>
        </w:rPr>
        <w:t>Тобто вимагати у підприємства чи іншого суб’єкта документи чи отримувати тимчасовий доступ до речей і документів можна лише на підставі ухвали слідчого судді, суду.</w:t>
      </w:r>
    </w:p>
    <w:p w:rsidR="003C18D6" w:rsidRPr="002C4ECC" w:rsidRDefault="003C18D6" w:rsidP="003C18D6">
      <w:pPr>
        <w:pStyle w:val="Web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i/>
          <w:color w:val="727272"/>
          <w:spacing w:val="3"/>
          <w:lang w:val="uk-UA"/>
        </w:rPr>
      </w:pPr>
      <w:r w:rsidRPr="002C4ECC">
        <w:rPr>
          <w:i/>
          <w:color w:val="000000"/>
          <w:spacing w:val="3"/>
          <w:lang w:val="uk-UA"/>
        </w:rPr>
        <w:t>Тож кримінальне процесуальне законодавство України чітко визначає порядок отримання доказів у разі встановлення обставин, які підлягають доказуванню у кримінальному провадженні, щоб забезпечити судовий контроль за правомірністю та обґрунтованістю вимог органів досудового розслідування.</w:t>
      </w:r>
    </w:p>
    <w:p w:rsidR="003C18D6" w:rsidRPr="002C4ECC" w:rsidRDefault="003C18D6" w:rsidP="003C18D6">
      <w:pPr>
        <w:pStyle w:val="Web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i/>
          <w:color w:val="000000"/>
          <w:spacing w:val="3"/>
          <w:lang w:val="uk-UA"/>
        </w:rPr>
      </w:pPr>
      <w:r w:rsidRPr="002C4ECC">
        <w:rPr>
          <w:i/>
          <w:color w:val="000000"/>
          <w:spacing w:val="3"/>
          <w:lang w:val="uk-UA"/>
        </w:rPr>
        <w:t>Вважаємо, що відповідно до частини 1 статті 19 Конституції України у ТОВ «__________» не виникає обов’язку виконувати вимоги, що зазначені у запиті слідчого.</w:t>
      </w:r>
    </w:p>
    <w:p w:rsidR="003C18D6" w:rsidRPr="002C4ECC" w:rsidRDefault="003C18D6" w:rsidP="003C18D6">
      <w:pPr>
        <w:pStyle w:val="Web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i/>
          <w:color w:val="727272"/>
          <w:spacing w:val="3"/>
          <w:lang w:val="uk-UA"/>
        </w:rPr>
      </w:pPr>
      <w:r w:rsidRPr="002C4ECC">
        <w:rPr>
          <w:i/>
          <w:color w:val="000000"/>
          <w:spacing w:val="3"/>
          <w:lang w:val="uk-UA"/>
        </w:rPr>
        <w:t>ТОВ «____________» усвідомлює всю важливість функцій та завдань, які покладаються на правоохоронні органи, тому готове всебічно сприяти органам досудового розслідування, якщо правоохоронні органи діятимуть на підставі, у межах повноважень та у спосіб, які передбачає Конституція та закони України».</w:t>
      </w:r>
    </w:p>
    <w:p w:rsidR="0062240D" w:rsidRPr="003C18D6" w:rsidRDefault="003C18D6" w:rsidP="003C18D6">
      <w:pPr>
        <w:pBdr>
          <w:top w:val="single" w:sz="4" w:space="1" w:color="auto"/>
          <w:left w:val="single" w:sz="4" w:space="4" w:color="auto"/>
          <w:bottom w:val="single" w:sz="4" w:space="1" w:color="auto"/>
          <w:right w:val="single" w:sz="4" w:space="4" w:color="auto"/>
        </w:pBdr>
        <w:rPr>
          <w:lang w:val="uk-UA"/>
        </w:rPr>
      </w:pPr>
      <w:bookmarkStart w:id="0" w:name="_GoBack"/>
      <w:bookmarkEnd w:id="0"/>
    </w:p>
    <w:sectPr w:rsidR="0062240D" w:rsidRPr="003C1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ignoreMixedConten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D6"/>
    <w:rsid w:val="003C18D6"/>
    <w:rsid w:val="00546B40"/>
    <w:rsid w:val="00CC38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64DFF-48AD-4B91-BABC-9847C3B8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8D6"/>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C18D6"/>
    <w:pPr>
      <w:spacing w:before="100" w:beforeAutospacing="1" w:after="100" w:afterAutospacing="1" w:line="240" w:lineRule="auto"/>
    </w:pPr>
    <w:rPr>
      <w:rFonts w:ascii="Times New Roman" w:hAnsi="Times New Roman"/>
      <w:sz w:val="24"/>
      <w:szCs w:val="24"/>
      <w:lang w:eastAsia="ru-RU"/>
    </w:rPr>
  </w:style>
  <w:style w:type="paragraph" w:styleId="Web1">
    <w:name w:val="Обычный (Web)1"/>
    <w:aliases w:val="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Обычный (веб)2"/>
    <w:basedOn w:val="a"/>
    <w:next w:val="a3"/>
    <w:link w:val="a4"/>
    <w:uiPriority w:val="99"/>
    <w:unhideWhenUsed/>
    <w:qFormat/>
    <w:rsid w:val="003C18D6"/>
    <w:pPr>
      <w:spacing w:before="100" w:beforeAutospacing="1" w:after="100" w:afterAutospacing="1" w:line="240" w:lineRule="auto"/>
    </w:pPr>
    <w:rPr>
      <w:rFonts w:ascii="Times New Roman" w:hAnsi="Times New Roman"/>
      <w:sz w:val="24"/>
      <w:szCs w:val="24"/>
      <w:lang w:eastAsia="ru-RU"/>
    </w:rPr>
  </w:style>
  <w:style w:type="character" w:customStyle="1" w:styleId="a4">
    <w:name w:val="Обычный (Интернет) Знак"/>
    <w:aliases w:val="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Обычный (веб)2 Знак"/>
    <w:link w:val="Web1"/>
    <w:uiPriority w:val="99"/>
    <w:locked/>
    <w:rsid w:val="003C18D6"/>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3C18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2" ma:contentTypeDescription="Создание документа." ma:contentTypeScope="" ma:versionID="e7c0f426b068e70c1bd43f374c2dde7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5f2c289d995fdb5362d9d171cf3dbde2"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3E1F1-12D3-443F-93E9-D028C51964F4}"/>
</file>

<file path=customXml/itemProps2.xml><?xml version="1.0" encoding="utf-8"?>
<ds:datastoreItem xmlns:ds="http://schemas.openxmlformats.org/officeDocument/2006/customXml" ds:itemID="{EEAE1865-35C9-438B-9A2B-36C9381631CA}"/>
</file>

<file path=customXml/itemProps3.xml><?xml version="1.0" encoding="utf-8"?>
<ds:datastoreItem xmlns:ds="http://schemas.openxmlformats.org/officeDocument/2006/customXml" ds:itemID="{ADE3DEC0-315C-43E8-893D-9557A681EE9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